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CA" w:rsidRPr="004E6CCA" w:rsidRDefault="00731C57" w:rsidP="00DC49DA">
      <w:pPr>
        <w:rPr>
          <w:b/>
        </w:rPr>
      </w:pPr>
      <w:r>
        <w:rPr>
          <w:b/>
        </w:rPr>
        <w:t>Valuation Case Study – Part 2</w:t>
      </w:r>
    </w:p>
    <w:p w:rsidR="005E7118" w:rsidRDefault="005E7118" w:rsidP="005E7118">
      <w:r>
        <w:t>In this case study, you’ll analyze ConAgra Food’s $4.9 billion bid for Ralcorp Holdings and determine whether or not Ralcorp was correct in rejecting the offer.</w:t>
      </w:r>
    </w:p>
    <w:p w:rsidR="005E7118" w:rsidRDefault="005E7118" w:rsidP="005E7118">
      <w:r>
        <w:t>Announced on May 4, 2011, ConAgra’s bid represented a play to invest more heavily in private-label products and to consolidate product lines within the food &amp; beverage industry.</w:t>
      </w:r>
    </w:p>
    <w:p w:rsidR="005E7118" w:rsidRDefault="005E7118" w:rsidP="005E7118">
      <w:r>
        <w:t>ConAgra is a leading consumer food company with a focus in the generic products (private-label) segment; Ralcorp has diversified business lines, including pasta, generic cereals, snacks, bakery, and the Post line of cereals.</w:t>
      </w:r>
    </w:p>
    <w:p w:rsidR="005E7118" w:rsidRDefault="005E7118" w:rsidP="005E7118">
      <w:r>
        <w:t>After a previous rejection by Ralcorp, ConAgra made another bid on May 4, offering $86.00 per share (a 32% premium above Ralcorp’s share price on March 21 – the day before its first approach) in a bid valued at $4.9 billion.</w:t>
      </w:r>
    </w:p>
    <w:p w:rsidR="005E7118" w:rsidRDefault="005E7118" w:rsidP="005E7118">
      <w:r>
        <w:t>In part 2 of this case study, you’ll fill out information for the rest of the public comps, create a set of precedent transactions, build a DCF analysis, and answer the discussion questions.</w:t>
      </w:r>
    </w:p>
    <w:p w:rsidR="00811B10" w:rsidRPr="003F7B02" w:rsidRDefault="00811B10" w:rsidP="00811B10">
      <w:r>
        <w:rPr>
          <w:b/>
        </w:rPr>
        <w:t>Excel Setup – IMPORTANT</w:t>
      </w:r>
    </w:p>
    <w:p w:rsidR="00811B10" w:rsidRDefault="00811B10" w:rsidP="00811B10">
      <w:r>
        <w:t>In this model we may encounter circular references. To ensure that they work correctly and that Excel does not crash, please go to Options (Alt + T + O) and then the Calculations tab in 2003 or the Formulas menu in 2007/2010, and make sure your menu looks like this:</w:t>
      </w:r>
    </w:p>
    <w:p w:rsidR="00811B10" w:rsidRDefault="00811B10" w:rsidP="00811B10">
      <w:r w:rsidRPr="003F7B02">
        <w:rPr>
          <w:noProof/>
          <w:lang w:eastAsia="en-US"/>
        </w:rPr>
        <w:drawing>
          <wp:inline distT="0" distB="0" distL="0" distR="0" wp14:anchorId="6881EB55" wp14:editId="5B2E1C9B">
            <wp:extent cx="5943600" cy="19570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72B" w:rsidRPr="009E122A" w:rsidRDefault="00811B10" w:rsidP="00DC49DA">
      <w:r>
        <w:t xml:space="preserve">If you do </w:t>
      </w:r>
      <w:r>
        <w:rPr>
          <w:b/>
        </w:rPr>
        <w:t>NOT</w:t>
      </w:r>
      <w:r>
        <w:t xml:space="preserve"> have “Enable iterative calculations” checked you will run into problems in most Excel models, including this one.</w:t>
      </w:r>
    </w:p>
    <w:p w:rsidR="00840739" w:rsidRDefault="00271028" w:rsidP="00DC49DA">
      <w:bookmarkStart w:id="0" w:name="_GoBack"/>
      <w:bookmarkEnd w:id="0"/>
      <w:r>
        <w:rPr>
          <w:b/>
        </w:rPr>
        <w:t>Part 2</w:t>
      </w:r>
      <w:r w:rsidR="00840739">
        <w:rPr>
          <w:b/>
        </w:rPr>
        <w:t xml:space="preserve"> – </w:t>
      </w:r>
      <w:r w:rsidR="006851CA">
        <w:rPr>
          <w:b/>
        </w:rPr>
        <w:t>Public Comps Analysis</w:t>
      </w:r>
    </w:p>
    <w:p w:rsidR="004F497F" w:rsidRDefault="00BB6BC9" w:rsidP="00DC49DA">
      <w:pPr>
        <w:pStyle w:val="ListParagraph"/>
        <w:ind w:left="0"/>
      </w:pPr>
      <w:r>
        <w:t>Complete the 5 public comps using the following assumptions:</w:t>
      </w:r>
    </w:p>
    <w:p w:rsidR="00017CE2" w:rsidRDefault="00017CE2" w:rsidP="00DC49DA">
      <w:pPr>
        <w:pStyle w:val="ListParagraph"/>
        <w:ind w:left="0"/>
      </w:pPr>
    </w:p>
    <w:p w:rsidR="00017CE2" w:rsidRDefault="00017CE2" w:rsidP="00017CE2">
      <w:pPr>
        <w:pStyle w:val="ListParagraph"/>
        <w:numPr>
          <w:ilvl w:val="0"/>
          <w:numId w:val="10"/>
        </w:numPr>
      </w:pPr>
      <w:r>
        <w:t>Use the included links to each company’s filings (“Public-Comps-Links.txt”) and the included equity research for the required numbers.</w:t>
      </w:r>
    </w:p>
    <w:p w:rsidR="00561E57" w:rsidRDefault="00561E57" w:rsidP="00017CE2">
      <w:pPr>
        <w:pStyle w:val="ListParagraph"/>
        <w:numPr>
          <w:ilvl w:val="0"/>
          <w:numId w:val="10"/>
        </w:numPr>
      </w:pPr>
      <w:r>
        <w:lastRenderedPageBreak/>
        <w:t xml:space="preserve">Where equity research does not exist, </w:t>
      </w:r>
      <w:r w:rsidR="001113FD">
        <w:rPr>
          <w:b/>
        </w:rPr>
        <w:t xml:space="preserve">you </w:t>
      </w:r>
      <w:r w:rsidR="001113FD" w:rsidRPr="001113FD">
        <w:rPr>
          <w:b/>
        </w:rPr>
        <w:t>will</w:t>
      </w:r>
      <w:r w:rsidR="001113FD">
        <w:t xml:space="preserve"> </w:t>
      </w:r>
      <w:r w:rsidR="009F3F22">
        <w:rPr>
          <w:b/>
        </w:rPr>
        <w:t>make your own estimates</w:t>
      </w:r>
      <w:r w:rsidR="009F3F22">
        <w:t xml:space="preserve"> </w:t>
      </w:r>
      <w:r w:rsidR="001113FD">
        <w:t>using the following assumptions:</w:t>
      </w:r>
    </w:p>
    <w:p w:rsidR="001113FD" w:rsidRDefault="001113FD" w:rsidP="001113FD">
      <w:pPr>
        <w:pStyle w:val="ListParagraph"/>
        <w:numPr>
          <w:ilvl w:val="1"/>
          <w:numId w:val="10"/>
        </w:numPr>
      </w:pPr>
      <w:r w:rsidRPr="001113FD">
        <w:rPr>
          <w:b/>
        </w:rPr>
        <w:t>JM Smucker</w:t>
      </w:r>
      <w:r>
        <w:t xml:space="preserve"> – Assume 10</w:t>
      </w:r>
      <w:r w:rsidR="00BE45CE">
        <w:t>.0</w:t>
      </w:r>
      <w:r>
        <w:t>% revenue growth in 9/30/2011 and 8</w:t>
      </w:r>
      <w:r w:rsidR="00BE45CE">
        <w:t>.0</w:t>
      </w:r>
      <w:r>
        <w:t>% revenue growth in 9/30/2012; assume 17.4% EBITDA margins in 9/30/2011 and 9/30/2012 (all based on historical averages).</w:t>
      </w:r>
    </w:p>
    <w:p w:rsidR="001113FD" w:rsidRDefault="00BE45CE" w:rsidP="001113FD">
      <w:pPr>
        <w:pStyle w:val="ListParagraph"/>
        <w:numPr>
          <w:ilvl w:val="1"/>
          <w:numId w:val="10"/>
        </w:numPr>
      </w:pPr>
      <w:r>
        <w:rPr>
          <w:b/>
        </w:rPr>
        <w:t>Seaboard Corporation</w:t>
      </w:r>
      <w:r>
        <w:t xml:space="preserve"> – Assume 8.5% revenue growth in 9/30/2011 and 7.0% revenue growth in 9/30/2012; assume 6.7% EBITDA margins in 9/30/2011 and 9/30/2012.</w:t>
      </w:r>
    </w:p>
    <w:p w:rsidR="00BE45CE" w:rsidRDefault="00BE45CE" w:rsidP="001113FD">
      <w:pPr>
        <w:pStyle w:val="ListParagraph"/>
        <w:numPr>
          <w:ilvl w:val="1"/>
          <w:numId w:val="10"/>
        </w:numPr>
      </w:pPr>
      <w:r>
        <w:rPr>
          <w:b/>
        </w:rPr>
        <w:t>United Natural Foods</w:t>
      </w:r>
      <w:r>
        <w:t xml:space="preserve"> – Assume 5.7% revenue growth in 9/30/2011 and 4.0% revenue growth in 9/30/2012; assume 3.7% EBITDA margins in 9/30/2011 and 9/30/2012.</w:t>
      </w:r>
    </w:p>
    <w:p w:rsidR="00346C05" w:rsidRDefault="00017CE2" w:rsidP="00346C05">
      <w:pPr>
        <w:pStyle w:val="ListParagraph"/>
        <w:numPr>
          <w:ilvl w:val="0"/>
          <w:numId w:val="10"/>
        </w:numPr>
      </w:pPr>
      <w:r>
        <w:t xml:space="preserve">All revenue and EBITDA figures should be </w:t>
      </w:r>
      <w:r>
        <w:rPr>
          <w:b/>
        </w:rPr>
        <w:t>calendarized</w:t>
      </w:r>
      <w:r>
        <w:t xml:space="preserve"> to end </w:t>
      </w:r>
      <w:r w:rsidR="006F099A">
        <w:t xml:space="preserve">on </w:t>
      </w:r>
      <w:r>
        <w:t xml:space="preserve">September 30 rather than </w:t>
      </w:r>
      <w:r w:rsidR="00630305">
        <w:t xml:space="preserve">ending on </w:t>
      </w:r>
      <w:r>
        <w:t>each company’s normal fiscal year</w:t>
      </w:r>
      <w:r w:rsidR="00630305">
        <w:t xml:space="preserve"> end</w:t>
      </w:r>
      <w:r>
        <w:t>.</w:t>
      </w:r>
    </w:p>
    <w:p w:rsidR="00346C05" w:rsidRDefault="00346C05" w:rsidP="00DC49DA">
      <w:pPr>
        <w:pStyle w:val="ListParagraph"/>
        <w:ind w:left="0"/>
        <w:rPr>
          <w:b/>
        </w:rPr>
      </w:pPr>
    </w:p>
    <w:p w:rsidR="006851CA" w:rsidRPr="00346C05" w:rsidRDefault="00346C05" w:rsidP="00DC49DA">
      <w:pPr>
        <w:pStyle w:val="ListParagraph"/>
        <w:ind w:left="0"/>
      </w:pPr>
      <w:r>
        <w:rPr>
          <w:b/>
        </w:rPr>
        <w:t>Part 2 – Precedent Transactions</w:t>
      </w:r>
    </w:p>
    <w:p w:rsidR="00346C05" w:rsidRDefault="00346C05" w:rsidP="00DC49DA">
      <w:pPr>
        <w:pStyle w:val="ListParagraph"/>
        <w:ind w:left="0"/>
      </w:pPr>
    </w:p>
    <w:p w:rsidR="00346C05" w:rsidRDefault="00B41125" w:rsidP="00DC49DA">
      <w:pPr>
        <w:pStyle w:val="ListParagraph"/>
        <w:ind w:left="0"/>
      </w:pPr>
      <w:r>
        <w:t>Use the included links to press releases and deal profiles (“Precedent-Transactions-Links”) as well as the PDF file (Folgers deal info. listed on page 7) to complete the M&amp;A comps.</w:t>
      </w:r>
    </w:p>
    <w:p w:rsidR="00B41125" w:rsidRDefault="00B41125" w:rsidP="00DC49DA">
      <w:pPr>
        <w:pStyle w:val="ListParagraph"/>
        <w:ind w:left="0"/>
      </w:pPr>
    </w:p>
    <w:p w:rsidR="00B41125" w:rsidRDefault="00B41125" w:rsidP="00DC49DA">
      <w:pPr>
        <w:pStyle w:val="ListParagraph"/>
        <w:ind w:left="0"/>
      </w:pPr>
      <w:r>
        <w:rPr>
          <w:b/>
        </w:rPr>
        <w:t>Do not worry about making everything precise – just use the numbers listed in press releases. You don’t have time to be scientific in real case studies</w:t>
      </w:r>
      <w:r>
        <w:t>.</w:t>
      </w:r>
    </w:p>
    <w:p w:rsidR="00B41125" w:rsidRDefault="00B41125" w:rsidP="00DC49DA">
      <w:pPr>
        <w:pStyle w:val="ListParagraph"/>
        <w:ind w:left="0"/>
      </w:pPr>
    </w:p>
    <w:p w:rsidR="00B41125" w:rsidRPr="00B41125" w:rsidRDefault="00517714" w:rsidP="00DC49DA">
      <w:pPr>
        <w:pStyle w:val="ListParagraph"/>
        <w:ind w:left="0"/>
      </w:pPr>
      <w:r>
        <w:t>Also do not worry about getting both enterprise value and equity value for everything – all you need for multiples is enterprise value.</w:t>
      </w:r>
    </w:p>
    <w:p w:rsidR="0033771C" w:rsidRDefault="0033771C" w:rsidP="00DC49DA">
      <w:pPr>
        <w:pStyle w:val="ListParagraph"/>
        <w:ind w:left="0"/>
      </w:pPr>
    </w:p>
    <w:p w:rsidR="0086462E" w:rsidRPr="0086462E" w:rsidRDefault="0086462E" w:rsidP="0086462E">
      <w:pPr>
        <w:pStyle w:val="ListParagraph"/>
        <w:ind w:left="0"/>
      </w:pPr>
      <w:r>
        <w:rPr>
          <w:b/>
        </w:rPr>
        <w:t>Part 2 – Discounted Cash Flow (DCF) Analysis</w:t>
      </w:r>
    </w:p>
    <w:p w:rsidR="00346C05" w:rsidRDefault="00346C05" w:rsidP="00DC49DA">
      <w:pPr>
        <w:pStyle w:val="ListParagraph"/>
        <w:ind w:left="0"/>
      </w:pPr>
    </w:p>
    <w:p w:rsidR="0086462E" w:rsidRDefault="00E84C26" w:rsidP="00DC49DA">
      <w:pPr>
        <w:pStyle w:val="ListParagraph"/>
        <w:ind w:left="0"/>
      </w:pPr>
      <w:r>
        <w:t>Fill out the partially completed DCF analysis template using the Credit Suisse equity research report on Ralcorp that you received in Part 1 of this case study.</w:t>
      </w:r>
    </w:p>
    <w:p w:rsidR="00E84C26" w:rsidRDefault="00E84C26" w:rsidP="00DC49DA">
      <w:pPr>
        <w:pStyle w:val="ListParagraph"/>
        <w:ind w:left="0"/>
      </w:pPr>
    </w:p>
    <w:p w:rsidR="00E84C26" w:rsidRDefault="00E84C26" w:rsidP="00DC49DA">
      <w:pPr>
        <w:pStyle w:val="ListParagraph"/>
        <w:ind w:left="0"/>
      </w:pPr>
      <w:r>
        <w:t>Use the following assumptions for the parts where CS does not provide numbers:</w:t>
      </w:r>
    </w:p>
    <w:p w:rsidR="00E84C26" w:rsidRDefault="00E84C26" w:rsidP="00DC49DA">
      <w:pPr>
        <w:pStyle w:val="ListParagraph"/>
        <w:ind w:left="0"/>
      </w:pPr>
    </w:p>
    <w:p w:rsidR="00E84C26" w:rsidRDefault="007A20A1" w:rsidP="007A20A1">
      <w:pPr>
        <w:pStyle w:val="ListParagraph"/>
        <w:numPr>
          <w:ilvl w:val="0"/>
          <w:numId w:val="11"/>
        </w:numPr>
      </w:pPr>
      <w:r>
        <w:t xml:space="preserve">For the taxes, use </w:t>
      </w:r>
      <w:r w:rsidR="00247E3C">
        <w:t xml:space="preserve">Ralcorp’s </w:t>
      </w:r>
      <w:r>
        <w:t>effective tax rate of 36% in all future periods.</w:t>
      </w:r>
    </w:p>
    <w:p w:rsidR="007A20A1" w:rsidRDefault="007A20A1" w:rsidP="007A20A1">
      <w:pPr>
        <w:pStyle w:val="ListParagraph"/>
        <w:numPr>
          <w:ilvl w:val="0"/>
          <w:numId w:val="11"/>
        </w:numPr>
      </w:pPr>
      <w:r>
        <w:t xml:space="preserve">Make the decrease or increase in working capital a percent of revenue – do a 3-year average from 2008 – 2010 and use that percentage </w:t>
      </w:r>
      <w:r w:rsidR="001514B9">
        <w:t xml:space="preserve">each year </w:t>
      </w:r>
      <w:r>
        <w:t>going forward.</w:t>
      </w:r>
    </w:p>
    <w:p w:rsidR="007A20A1" w:rsidRDefault="00D70769" w:rsidP="007A20A1">
      <w:pPr>
        <w:pStyle w:val="ListParagraph"/>
        <w:numPr>
          <w:ilvl w:val="0"/>
          <w:numId w:val="11"/>
        </w:numPr>
      </w:pPr>
      <w:r>
        <w:t>The WACC assumptions have already been provided in the WACC worksheet.</w:t>
      </w:r>
    </w:p>
    <w:p w:rsidR="00D70769" w:rsidRDefault="00D70769" w:rsidP="007A20A1">
      <w:pPr>
        <w:pStyle w:val="ListParagraph"/>
        <w:numPr>
          <w:ilvl w:val="0"/>
          <w:numId w:val="11"/>
        </w:numPr>
      </w:pPr>
      <w:r>
        <w:t>Use a baseline Terminal EBITDA Multiple of 9x and a baseline Terminal Growth Rate of 4.0%.</w:t>
      </w:r>
    </w:p>
    <w:p w:rsidR="0086462E" w:rsidRDefault="00D70769" w:rsidP="00DF62B4">
      <w:pPr>
        <w:pStyle w:val="ListParagraph"/>
        <w:numPr>
          <w:ilvl w:val="0"/>
          <w:numId w:val="11"/>
        </w:numPr>
      </w:pPr>
      <w:r>
        <w:t xml:space="preserve">The sensitivities should range from a </w:t>
      </w:r>
      <w:r w:rsidR="007D17B5">
        <w:t>6</w:t>
      </w:r>
      <w:r>
        <w:t xml:space="preserve">% to </w:t>
      </w:r>
      <w:r w:rsidR="007D17B5">
        <w:t>10</w:t>
      </w:r>
      <w:r>
        <w:t>% Discount Rate, a 1% to 6% Terminal Growth Rate, and a 6x – 11x Terminal EBITDA Multiple.</w:t>
      </w:r>
    </w:p>
    <w:p w:rsidR="0091672B" w:rsidRDefault="0091672B" w:rsidP="00DC49DA">
      <w:pPr>
        <w:pStyle w:val="ListParagraph"/>
        <w:ind w:left="0"/>
        <w:rPr>
          <w:b/>
        </w:rPr>
      </w:pPr>
    </w:p>
    <w:p w:rsidR="00C82CD2" w:rsidRDefault="00C82CD2" w:rsidP="00DC49DA">
      <w:pPr>
        <w:pStyle w:val="ListParagraph"/>
        <w:ind w:left="0"/>
      </w:pPr>
      <w:r w:rsidRPr="00C82CD2">
        <w:rPr>
          <w:b/>
        </w:rPr>
        <w:t xml:space="preserve">Part 2 – </w:t>
      </w:r>
      <w:r>
        <w:rPr>
          <w:b/>
        </w:rPr>
        <w:t>Discussion Questions</w:t>
      </w:r>
    </w:p>
    <w:p w:rsidR="003D3DE5" w:rsidRDefault="003D3DE5" w:rsidP="00DC49DA">
      <w:pPr>
        <w:pStyle w:val="ListParagraph"/>
        <w:ind w:left="0"/>
      </w:pPr>
    </w:p>
    <w:p w:rsidR="003D3DE5" w:rsidRDefault="003225E9" w:rsidP="00DC49DA">
      <w:pPr>
        <w:pStyle w:val="ListParagraph"/>
        <w:ind w:left="0"/>
      </w:pPr>
      <w:r>
        <w:t xml:space="preserve">Use your completed </w:t>
      </w:r>
      <w:r w:rsidR="006D45A3">
        <w:t xml:space="preserve">valuation </w:t>
      </w:r>
      <w:r w:rsidR="00DF62B4">
        <w:t xml:space="preserve">and the valuation </w:t>
      </w:r>
      <w:r w:rsidR="00800C26">
        <w:t xml:space="preserve">summary graph </w:t>
      </w:r>
      <w:r>
        <w:t>to answer the following questions:</w:t>
      </w:r>
    </w:p>
    <w:p w:rsidR="006D45A3" w:rsidRDefault="006D45A3" w:rsidP="00DC49DA">
      <w:pPr>
        <w:pStyle w:val="ListParagraph"/>
        <w:ind w:left="0"/>
      </w:pPr>
    </w:p>
    <w:p w:rsidR="006D45A3" w:rsidRDefault="006D45A3" w:rsidP="006D45A3">
      <w:pPr>
        <w:pStyle w:val="ListParagraph"/>
        <w:numPr>
          <w:ilvl w:val="0"/>
          <w:numId w:val="9"/>
        </w:numPr>
      </w:pPr>
      <w:r>
        <w:t>Based on the numbers, was it correct for Ralcorp to reject ConAgra’</w:t>
      </w:r>
      <w:r w:rsidR="00666A56">
        <w:t>s improved $86.00</w:t>
      </w:r>
      <w:r>
        <w:t xml:space="preserve"> / share offer?</w:t>
      </w:r>
    </w:p>
    <w:p w:rsidR="006D45A3" w:rsidRDefault="00984BF9" w:rsidP="006D45A3">
      <w:pPr>
        <w:pStyle w:val="ListParagraph"/>
        <w:numPr>
          <w:ilvl w:val="0"/>
          <w:numId w:val="9"/>
        </w:numPr>
      </w:pPr>
      <w:r>
        <w:t>If the offer price looks reasonable according to your valuation, why did Ralcorp still reject the offer?</w:t>
      </w:r>
    </w:p>
    <w:p w:rsidR="00984BF9" w:rsidRDefault="00500673" w:rsidP="006D45A3">
      <w:pPr>
        <w:pStyle w:val="ListParagraph"/>
        <w:numPr>
          <w:ilvl w:val="0"/>
          <w:numId w:val="9"/>
        </w:numPr>
      </w:pPr>
      <w:r>
        <w:t xml:space="preserve">If the offer price does </w:t>
      </w:r>
      <w:r>
        <w:rPr>
          <w:i/>
        </w:rPr>
        <w:t>not</w:t>
      </w:r>
      <w:r>
        <w:t xml:space="preserve"> look reasonable according to your valuation, why would ConAgra low-ball them?</w:t>
      </w:r>
    </w:p>
    <w:p w:rsidR="00500673" w:rsidRDefault="00DD6FAD" w:rsidP="006D45A3">
      <w:pPr>
        <w:pStyle w:val="ListParagraph"/>
        <w:numPr>
          <w:ilvl w:val="0"/>
          <w:numId w:val="9"/>
        </w:numPr>
      </w:pPr>
      <w:r>
        <w:t>Would any other valuation methodologies have been appropriate to use here?</w:t>
      </w:r>
    </w:p>
    <w:p w:rsidR="0091672B" w:rsidRPr="0091672B" w:rsidRDefault="00874685" w:rsidP="0091672B">
      <w:pPr>
        <w:pStyle w:val="ListParagraph"/>
        <w:numPr>
          <w:ilvl w:val="0"/>
          <w:numId w:val="9"/>
        </w:numPr>
      </w:pPr>
      <w:r>
        <w:t xml:space="preserve">A few months after the rejected offer, </w:t>
      </w:r>
      <w:hyperlink r:id="rId7" w:history="1">
        <w:r w:rsidRPr="00065751">
          <w:rPr>
            <w:rStyle w:val="Hyperlink"/>
          </w:rPr>
          <w:t>Ralcorp announced plans to spin off its Post Foods division</w:t>
        </w:r>
      </w:hyperlink>
      <w:r>
        <w:t xml:space="preserve"> – do you think that was a good idea? </w:t>
      </w:r>
      <w:r w:rsidR="00065751">
        <w:t xml:space="preserve">How could you assess whether or not they’re more valuable in separate parts or with all their </w:t>
      </w:r>
      <w:r w:rsidR="00F16CA4">
        <w:t>divisions intact?</w:t>
      </w:r>
    </w:p>
    <w:sectPr w:rsidR="0091672B" w:rsidRPr="00916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520"/>
    <w:multiLevelType w:val="hybridMultilevel"/>
    <w:tmpl w:val="0AA49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77966"/>
    <w:multiLevelType w:val="hybridMultilevel"/>
    <w:tmpl w:val="31E8E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E30E2"/>
    <w:multiLevelType w:val="hybridMultilevel"/>
    <w:tmpl w:val="0DF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934F7"/>
    <w:multiLevelType w:val="hybridMultilevel"/>
    <w:tmpl w:val="572CC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E1D90"/>
    <w:multiLevelType w:val="hybridMultilevel"/>
    <w:tmpl w:val="D43CA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E0A44"/>
    <w:multiLevelType w:val="hybridMultilevel"/>
    <w:tmpl w:val="2A7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C524B"/>
    <w:multiLevelType w:val="hybridMultilevel"/>
    <w:tmpl w:val="C22A3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1E478B"/>
    <w:multiLevelType w:val="hybridMultilevel"/>
    <w:tmpl w:val="D7D0C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B64C3"/>
    <w:multiLevelType w:val="hybridMultilevel"/>
    <w:tmpl w:val="C022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374F35"/>
    <w:multiLevelType w:val="hybridMultilevel"/>
    <w:tmpl w:val="CE58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5954C0"/>
    <w:multiLevelType w:val="hybridMultilevel"/>
    <w:tmpl w:val="127A1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9C"/>
    <w:rsid w:val="000174F4"/>
    <w:rsid w:val="00017CE2"/>
    <w:rsid w:val="00065751"/>
    <w:rsid w:val="000718BD"/>
    <w:rsid w:val="000B1C9C"/>
    <w:rsid w:val="001113FD"/>
    <w:rsid w:val="00136ED7"/>
    <w:rsid w:val="001514B9"/>
    <w:rsid w:val="00177946"/>
    <w:rsid w:val="00227E4C"/>
    <w:rsid w:val="00247E3C"/>
    <w:rsid w:val="00271028"/>
    <w:rsid w:val="002D16D5"/>
    <w:rsid w:val="003225E9"/>
    <w:rsid w:val="0033771C"/>
    <w:rsid w:val="00346C05"/>
    <w:rsid w:val="00383FDB"/>
    <w:rsid w:val="00396CD8"/>
    <w:rsid w:val="00397691"/>
    <w:rsid w:val="003D3DE5"/>
    <w:rsid w:val="003E2440"/>
    <w:rsid w:val="003F41E4"/>
    <w:rsid w:val="003F7B02"/>
    <w:rsid w:val="00404522"/>
    <w:rsid w:val="00432001"/>
    <w:rsid w:val="00457C75"/>
    <w:rsid w:val="00472075"/>
    <w:rsid w:val="00491EF9"/>
    <w:rsid w:val="004A183C"/>
    <w:rsid w:val="004E6CCA"/>
    <w:rsid w:val="004F497F"/>
    <w:rsid w:val="00500673"/>
    <w:rsid w:val="005131DD"/>
    <w:rsid w:val="00517714"/>
    <w:rsid w:val="0052349C"/>
    <w:rsid w:val="0056185B"/>
    <w:rsid w:val="00561E57"/>
    <w:rsid w:val="0059482F"/>
    <w:rsid w:val="005D50F8"/>
    <w:rsid w:val="005E7118"/>
    <w:rsid w:val="0062512B"/>
    <w:rsid w:val="00630305"/>
    <w:rsid w:val="00636C45"/>
    <w:rsid w:val="006536E1"/>
    <w:rsid w:val="00666A56"/>
    <w:rsid w:val="006851CA"/>
    <w:rsid w:val="0068681F"/>
    <w:rsid w:val="00694F7D"/>
    <w:rsid w:val="00695BFB"/>
    <w:rsid w:val="006D4256"/>
    <w:rsid w:val="006D45A3"/>
    <w:rsid w:val="006F099A"/>
    <w:rsid w:val="00731C57"/>
    <w:rsid w:val="0074443F"/>
    <w:rsid w:val="007966A1"/>
    <w:rsid w:val="007A20A1"/>
    <w:rsid w:val="007D17B5"/>
    <w:rsid w:val="00800C26"/>
    <w:rsid w:val="00811B10"/>
    <w:rsid w:val="00830D22"/>
    <w:rsid w:val="00840739"/>
    <w:rsid w:val="00863EF7"/>
    <w:rsid w:val="0086462E"/>
    <w:rsid w:val="00874685"/>
    <w:rsid w:val="00892718"/>
    <w:rsid w:val="008B150C"/>
    <w:rsid w:val="0091672B"/>
    <w:rsid w:val="00935822"/>
    <w:rsid w:val="00947065"/>
    <w:rsid w:val="00984BF9"/>
    <w:rsid w:val="009B3444"/>
    <w:rsid w:val="009E122A"/>
    <w:rsid w:val="009F0587"/>
    <w:rsid w:val="009F3F22"/>
    <w:rsid w:val="00A21FD4"/>
    <w:rsid w:val="00A27175"/>
    <w:rsid w:val="00B14CE6"/>
    <w:rsid w:val="00B30A40"/>
    <w:rsid w:val="00B3105B"/>
    <w:rsid w:val="00B41125"/>
    <w:rsid w:val="00BB6BC9"/>
    <w:rsid w:val="00BD57AD"/>
    <w:rsid w:val="00BE29ED"/>
    <w:rsid w:val="00BE45CE"/>
    <w:rsid w:val="00C65697"/>
    <w:rsid w:val="00C82CD2"/>
    <w:rsid w:val="00CB174A"/>
    <w:rsid w:val="00D133E3"/>
    <w:rsid w:val="00D4000F"/>
    <w:rsid w:val="00D406E5"/>
    <w:rsid w:val="00D70769"/>
    <w:rsid w:val="00D9232A"/>
    <w:rsid w:val="00DC49DA"/>
    <w:rsid w:val="00DD6FAD"/>
    <w:rsid w:val="00DE26A0"/>
    <w:rsid w:val="00DE59A1"/>
    <w:rsid w:val="00DF62B4"/>
    <w:rsid w:val="00E367E2"/>
    <w:rsid w:val="00E84C26"/>
    <w:rsid w:val="00F16CA4"/>
    <w:rsid w:val="00F46541"/>
    <w:rsid w:val="00F95AD2"/>
    <w:rsid w:val="00FA610F"/>
    <w:rsid w:val="00FB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B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5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B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5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1.%09http:/blogs.barrons.com/stockstowatchtoday/2011/07/15/ralcorps-guidance-disappoints-wants-to-split-off-po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Breaking Into Wall Street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BIWS</dc:creator>
  <cp:lastModifiedBy>BIWS</cp:lastModifiedBy>
  <cp:revision>95</cp:revision>
  <dcterms:created xsi:type="dcterms:W3CDTF">2010-12-09T00:51:00Z</dcterms:created>
  <dcterms:modified xsi:type="dcterms:W3CDTF">2011-08-01T22:11:00Z</dcterms:modified>
</cp:coreProperties>
</file>